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/>
          <w:color w:val="555F5B"/>
          <w:sz w:val="19"/>
        </w:rPr>
        <w:t>Fill in the brackets and send this page to your executive team. Keep it to one page.</w:t>
      </w:r>
    </w:p>
    <w:p>
      <w:pPr>
        <w:pStyle w:val="Title"/>
        <w:pBdr>
          <w:bottom w:val="single" w:sz="12" w:space="4" w:color="AABC3C"/>
        </w:pBdr>
        <w:spacing w:after="160"/>
      </w:pPr>
      <w:r>
        <w:t>AI readiness: [Organization or team]</w:t>
      </w:r>
    </w:p>
    <w:p>
      <w:r>
        <w:rPr>
          <w:b w:val="0"/>
          <w:i w:val="0"/>
        </w:rPr>
        <w:t>Survey open [start date] to [end date] · Sent to [number] people · [number] responses ([percent] response rate)</w:t>
      </w:r>
    </w:p>
    <w:p>
      <w:r>
        <w:rPr>
          <w:b/>
          <w:i w:val="0"/>
        </w:rPr>
        <w:t>The gap in one sentence:</w:t>
      </w:r>
      <w:r>
        <w:rPr>
          <w:b w:val="0"/>
          <w:i w:val="0"/>
        </w:rPr>
        <w:t xml:space="preserve"> [For example: "Most of us use AI every week, but fewer than half know what must stay out of it."]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7C0"/>
          <w:left w:val="single" w:sz="4" w:space="0" w:color="B8C7C0"/>
          <w:bottom w:val="single" w:sz="4" w:space="0" w:color="B8C7C0"/>
          <w:right w:val="single" w:sz="4" w:space="0" w:color="B8C7C0"/>
          <w:insideH w:val="single" w:sz="4" w:space="0" w:color="B8C7C0"/>
          <w:insideV w:val="single" w:sz="4" w:space="0" w:color="B8C7C0"/>
        </w:tblBorders>
        <w:tblCellMar>
          <w:top w:w="50" w:type="dxa"/>
          <w:left w:w="90" w:type="dxa"/>
          <w:bottom w:w="50" w:type="dxa"/>
          <w:right w:w="90" w:type="dxa"/>
        </w:tblCellMar>
        <w:tblLayout w:type="fixed"/>
      </w:tblPr>
      <w:tblGrid>
        <w:gridCol w:w="2880"/>
        <w:gridCol w:w="1656"/>
        <w:gridCol w:w="1584"/>
        <w:gridCol w:w="3240"/>
      </w:tblGrid>
      <w:tr>
        <w:trPr>
          <w:cantSplit/>
          <w:tblHeader/>
        </w:trPr>
        <w:tc>
          <w:tcPr>
            <w:tcW w:type="dxa" w:w="2880"/>
            <w:shd w:val="clear" w:color="auto" w:fill="0E5640"/>
          </w:tcPr>
          <w:p>
            <w:pPr>
              <w:keepNext/>
              <w:spacing w:after="0" w:line="252" w:lineRule="auto"/>
            </w:pPr>
            <w:r>
              <w:rPr>
                <w:b/>
                <w:i w:val="0"/>
                <w:color w:val="FFFFFF"/>
                <w:sz w:val="20"/>
              </w:rPr>
              <w:t>Dimension</w:t>
            </w:r>
          </w:p>
        </w:tc>
        <w:tc>
          <w:tcPr>
            <w:tcW w:type="dxa" w:w="1656"/>
            <w:shd w:val="clear" w:color="auto" w:fill="0E5640"/>
          </w:tcPr>
          <w:p>
            <w:pPr>
              <w:spacing w:after="0" w:line="252" w:lineRule="auto"/>
            </w:pPr>
            <w:r>
              <w:rPr>
                <w:b/>
                <w:i w:val="0"/>
                <w:color w:val="FFFFFF"/>
                <w:sz w:val="20"/>
              </w:rPr>
              <w:t>Score (1 to 5)</w:t>
            </w:r>
          </w:p>
        </w:tc>
        <w:tc>
          <w:tcPr>
            <w:tcW w:type="dxa" w:w="1584"/>
            <w:shd w:val="clear" w:color="auto" w:fill="0E5640"/>
          </w:tcPr>
          <w:p>
            <w:pPr>
              <w:spacing w:after="0" w:line="252" w:lineRule="auto"/>
            </w:pPr>
            <w:r>
              <w:rPr>
                <w:b/>
                <w:i w:val="0"/>
                <w:color w:val="FFFFFF"/>
                <w:sz w:val="20"/>
              </w:rPr>
              <w:t>Band</w:t>
            </w:r>
          </w:p>
        </w:tc>
        <w:tc>
          <w:tcPr>
            <w:tcW w:type="dxa" w:w="3240"/>
            <w:shd w:val="clear" w:color="auto" w:fill="0E5640"/>
          </w:tcPr>
          <w:p>
            <w:pPr>
              <w:spacing w:after="0" w:line="252" w:lineRule="auto"/>
            </w:pPr>
            <w:r>
              <w:rPr>
                <w:b/>
                <w:i w:val="0"/>
                <w:color w:val="FFFFFF"/>
                <w:sz w:val="20"/>
              </w:rPr>
              <w:t>What it means for us</w:t>
            </w:r>
          </w:p>
        </w:tc>
      </w:tr>
      <w:tr>
        <w:trPr>
          <w:cantSplit/>
          <w:trHeight w:val="432" w:hRule="atLeast"/>
        </w:trPr>
        <w:tc>
          <w:tcPr>
            <w:tcW w:type="dxa" w:w="288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Use</w:t>
            </w:r>
          </w:p>
        </w:tc>
        <w:tc>
          <w:tcPr>
            <w:tcW w:type="dxa" w:w="1656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  <w:tc>
          <w:tcPr>
            <w:tcW w:type="dxa" w:w="1584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  <w:tc>
          <w:tcPr>
            <w:tcW w:type="dxa" w:w="324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</w:tr>
      <w:tr>
        <w:trPr>
          <w:cantSplit/>
          <w:trHeight w:val="432" w:hRule="atLeast"/>
        </w:trPr>
        <w:tc>
          <w:tcPr>
            <w:tcW w:type="dxa" w:w="288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Skills</w:t>
            </w:r>
          </w:p>
        </w:tc>
        <w:tc>
          <w:tcPr>
            <w:tcW w:type="dxa" w:w="1656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  <w:tc>
          <w:tcPr>
            <w:tcW w:type="dxa" w:w="1584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  <w:tc>
          <w:tcPr>
            <w:tcW w:type="dxa" w:w="324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</w:tr>
      <w:tr>
        <w:trPr>
          <w:cantSplit/>
          <w:trHeight w:val="432" w:hRule="atLeast"/>
        </w:trPr>
        <w:tc>
          <w:tcPr>
            <w:tcW w:type="dxa" w:w="288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Safety and data handling</w:t>
            </w:r>
          </w:p>
        </w:tc>
        <w:tc>
          <w:tcPr>
            <w:tcW w:type="dxa" w:w="1656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  <w:tc>
          <w:tcPr>
            <w:tcW w:type="dxa" w:w="1584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  <w:tc>
          <w:tcPr>
            <w:tcW w:type="dxa" w:w="324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</w:tr>
      <w:tr>
        <w:trPr>
          <w:cantSplit/>
          <w:trHeight w:val="432" w:hRule="atLeast"/>
        </w:trPr>
        <w:tc>
          <w:tcPr>
            <w:tcW w:type="dxa" w:w="288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Policy awareness</w:t>
            </w:r>
          </w:p>
        </w:tc>
        <w:tc>
          <w:tcPr>
            <w:tcW w:type="dxa" w:w="1656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  <w:tc>
          <w:tcPr>
            <w:tcW w:type="dxa" w:w="1584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  <w:tc>
          <w:tcPr>
            <w:tcW w:type="dxa" w:w="324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</w:tr>
      <w:tr>
        <w:trPr>
          <w:cantSplit/>
          <w:trHeight w:val="432" w:hRule="atLeast"/>
        </w:trPr>
        <w:tc>
          <w:tcPr>
            <w:tcW w:type="dxa" w:w="288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Confidence</w:t>
            </w:r>
          </w:p>
        </w:tc>
        <w:tc>
          <w:tcPr>
            <w:tcW w:type="dxa" w:w="1656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  <w:tc>
          <w:tcPr>
            <w:tcW w:type="dxa" w:w="1584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  <w:tc>
          <w:tcPr>
            <w:tcW w:type="dxa" w:w="324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</w:tr>
    </w:tbl>
    <w:p>
      <w:pPr>
        <w:spacing w:after="0" w:line="144" w:lineRule="auto"/>
      </w:pPr>
    </w:p>
    <w:p>
      <w:pPr>
        <w:keepNext/>
        <w:spacing w:before="120"/>
      </w:pPr>
      <w:r>
        <w:rPr>
          <w:b/>
          <w:i w:val="0"/>
          <w:color w:val="0E5640"/>
        </w:rPr>
        <w:t>Shadow AI</w:t>
      </w:r>
    </w:p>
    <w:p>
      <w:pPr>
        <w:pStyle w:val="ListBullet"/>
      </w:pPr>
      <w:r>
        <w:rPr>
          <w:b w:val="0"/>
          <w:i w:val="0"/>
        </w:rPr>
        <w:t>[number] percent use a personal account for AI at work (Q3).</w:t>
      </w:r>
    </w:p>
    <w:p>
      <w:pPr>
        <w:pStyle w:val="ListBullet"/>
      </w:pPr>
      <w:r>
        <w:rPr>
          <w:b w:val="0"/>
          <w:i w:val="0"/>
        </w:rPr>
        <w:t>[number] percent used a tool they weren't sure was approved in the last three months (Q4).</w:t>
      </w:r>
    </w:p>
    <w:p>
      <w:pPr>
        <w:pStyle w:val="ListBullet"/>
      </w:pPr>
      <w:r>
        <w:rPr>
          <w:b w:val="0"/>
          <w:i w:val="0"/>
        </w:rPr>
        <w:t>[number] percent put work content into personal or free tools (Q5).</w:t>
      </w:r>
    </w:p>
    <w:p>
      <w:pPr>
        <w:pStyle w:val="ListBullet"/>
        <w:spacing w:after="120"/>
      </w:pPr>
      <w:r>
        <w:rPr>
          <w:b w:val="0"/>
          <w:i w:val="0"/>
        </w:rPr>
        <w:t>IT checklist findings: [two or three lines from section 5]</w:t>
      </w:r>
    </w:p>
    <w:p>
      <w:pPr>
        <w:keepNext/>
        <w:spacing w:before="120"/>
      </w:pPr>
      <w:r>
        <w:rPr>
          <w:b/>
          <w:i w:val="0"/>
          <w:color w:val="0E5640"/>
        </w:rPr>
        <w:t>How people feel</w:t>
      </w:r>
    </w:p>
    <w:p>
      <w:pPr>
        <w:pStyle w:val="ListBullet"/>
      </w:pPr>
      <w:r>
        <w:rPr>
          <w:b w:val="0"/>
          <w:i w:val="0"/>
        </w:rPr>
        <w:t>[number] percent agree or strongly agree AI could save them real time (Q7).</w:t>
      </w:r>
    </w:p>
    <w:p>
      <w:pPr>
        <w:pStyle w:val="ListBullet"/>
        <w:spacing w:after="120"/>
      </w:pPr>
      <w:r>
        <w:rPr>
          <w:b w:val="0"/>
          <w:i w:val="0"/>
        </w:rPr>
        <w:t>[number] percent agree or strongly agree they have concerns about how AI will change their role (Q8).</w:t>
      </w:r>
    </w:p>
    <w:p>
      <w:r>
        <w:rPr>
          <w:b/>
          <w:i w:val="0"/>
        </w:rPr>
        <w:t>What staff asked for</w:t>
      </w:r>
      <w:r>
        <w:rPr>
          <w:b w:val="0"/>
          <w:i w:val="0"/>
        </w:rPr>
        <w:t xml:space="preserve"> (Q18, top three): [1] · [2] · [3]</w:t>
      </w:r>
    </w:p>
    <w:p>
      <w:r>
        <w:rPr>
          <w:b/>
          <w:i w:val="0"/>
        </w:rPr>
        <w:t>How they want to learn</w:t>
      </w:r>
      <w:r>
        <w:rPr>
          <w:b w:val="0"/>
          <w:i w:val="0"/>
        </w:rPr>
        <w:t xml:space="preserve"> (Q19): [most common answer]</w:t>
      </w:r>
    </w:p>
    <w:p>
      <w:pPr>
        <w:keepNext/>
        <w:spacing w:before="120"/>
      </w:pPr>
      <w:r>
        <w:rPr>
          <w:b/>
          <w:i w:val="0"/>
          <w:color w:val="0E5640"/>
        </w:rPr>
        <w:t>Recommended next steps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7C0"/>
          <w:left w:val="single" w:sz="4" w:space="0" w:color="B8C7C0"/>
          <w:bottom w:val="single" w:sz="4" w:space="0" w:color="B8C7C0"/>
          <w:right w:val="single" w:sz="4" w:space="0" w:color="B8C7C0"/>
          <w:insideH w:val="single" w:sz="4" w:space="0" w:color="B8C7C0"/>
          <w:insideV w:val="single" w:sz="4" w:space="0" w:color="B8C7C0"/>
        </w:tblBorders>
        <w:tblCellMar>
          <w:top w:w="50" w:type="dxa"/>
          <w:left w:w="90" w:type="dxa"/>
          <w:bottom w:w="50" w:type="dxa"/>
          <w:right w:w="90" w:type="dxa"/>
        </w:tblCellMar>
        <w:tblLayout w:type="fixed"/>
      </w:tblPr>
      <w:tblGrid>
        <w:gridCol w:w="5040"/>
        <w:gridCol w:w="2160"/>
        <w:gridCol w:w="2160"/>
      </w:tblGrid>
      <w:tr>
        <w:trPr>
          <w:cantSplit/>
          <w:tblHeader/>
        </w:trPr>
        <w:tc>
          <w:tcPr>
            <w:tcW w:type="dxa" w:w="5040"/>
            <w:shd w:val="clear" w:color="auto" w:fill="0E5640"/>
          </w:tcPr>
          <w:p>
            <w:pPr>
              <w:keepNext/>
              <w:spacing w:after="0" w:line="252" w:lineRule="auto"/>
            </w:pPr>
            <w:r>
              <w:rPr>
                <w:b/>
                <w:i w:val="0"/>
                <w:color w:val="FFFFFF"/>
                <w:sz w:val="20"/>
              </w:rPr>
              <w:t>Step</w:t>
            </w:r>
          </w:p>
        </w:tc>
        <w:tc>
          <w:tcPr>
            <w:tcW w:type="dxa" w:w="2160"/>
            <w:shd w:val="clear" w:color="auto" w:fill="0E5640"/>
          </w:tcPr>
          <w:p>
            <w:pPr>
              <w:spacing w:after="0" w:line="252" w:lineRule="auto"/>
            </w:pPr>
            <w:r>
              <w:rPr>
                <w:b/>
                <w:i w:val="0"/>
                <w:color w:val="FFFFFF"/>
                <w:sz w:val="20"/>
              </w:rPr>
              <w:t>Owner</w:t>
            </w:r>
          </w:p>
        </w:tc>
        <w:tc>
          <w:tcPr>
            <w:tcW w:type="dxa" w:w="2160"/>
            <w:shd w:val="clear" w:color="auto" w:fill="0E5640"/>
          </w:tcPr>
          <w:p>
            <w:pPr>
              <w:spacing w:after="0" w:line="252" w:lineRule="auto"/>
            </w:pPr>
            <w:r>
              <w:rPr>
                <w:b/>
                <w:i w:val="0"/>
                <w:color w:val="FFFFFF"/>
                <w:sz w:val="20"/>
              </w:rPr>
              <w:t>By when</w:t>
            </w:r>
          </w:p>
        </w:tc>
      </w:tr>
      <w:tr>
        <w:trPr>
          <w:cantSplit/>
          <w:trHeight w:val="432" w:hRule="atLeast"/>
        </w:trPr>
        <w:tc>
          <w:tcPr>
            <w:tcW w:type="dxa" w:w="504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  <w:tc>
          <w:tcPr>
            <w:tcW w:type="dxa" w:w="216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  <w:tc>
          <w:tcPr>
            <w:tcW w:type="dxa" w:w="216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</w:tr>
      <w:tr>
        <w:trPr>
          <w:cantSplit/>
          <w:trHeight w:val="432" w:hRule="atLeast"/>
        </w:trPr>
        <w:tc>
          <w:tcPr>
            <w:tcW w:type="dxa" w:w="504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  <w:tc>
          <w:tcPr>
            <w:tcW w:type="dxa" w:w="216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  <w:tc>
          <w:tcPr>
            <w:tcW w:type="dxa" w:w="216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</w:tr>
      <w:tr>
        <w:trPr>
          <w:cantSplit/>
          <w:trHeight w:val="432" w:hRule="atLeast"/>
        </w:trPr>
        <w:tc>
          <w:tcPr>
            <w:tcW w:type="dxa" w:w="504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  <w:tc>
          <w:tcPr>
            <w:tcW w:type="dxa" w:w="216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  <w:tc>
          <w:tcPr>
            <w:tcW w:type="dxa" w:w="2160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0"/>
              </w:rPr>
              <w:t>[ ]</w:t>
            </w:r>
          </w:p>
        </w:tc>
      </w:tr>
    </w:tbl>
    <w:p>
      <w:pPr>
        <w:spacing w:after="0" w:line="144" w:lineRule="auto"/>
      </w:pPr>
    </w:p>
    <w:p>
      <w:r>
        <w:rPr>
          <w:b/>
          <w:i w:val="0"/>
        </w:rPr>
        <w:t>Decision needed:</w:t>
      </w:r>
      <w:r>
        <w:rPr>
          <w:b w:val="0"/>
          <w:i w:val="0"/>
        </w:rPr>
        <w:t xml:space="preserve"> [For example: approve an AI policy, an approved tool, or a training plan.]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648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5F5B"/>
        <w:sz w:val="18"/>
      </w:rPr>
      <w:t xml:space="preserve">Page </w:t>
    </w:r>
    <w:r>
      <w:rPr>
        <w:color w:val="555F5B"/>
        <w:sz w:val="18"/>
      </w:rPr>
      <w:fldChar w:fldCharType="begin"/>
    </w:r>
    <w:r>
      <w:rPr>
        <w:color w:val="555F5B"/>
        <w:sz w:val="18"/>
      </w:rPr>
      <w:instrText xml:space="preserve"> PAGE </w:instrText>
    </w:r>
    <w:r>
      <w:rPr>
        <w:color w:val="555F5B"/>
        <w:sz w:val="18"/>
      </w:rPr>
      <w:fldChar w:fldCharType="separate"/>
    </w:r>
    <w:r>
      <w:rPr>
        <w:color w:val="555F5B"/>
        <w:sz w:val="18"/>
      </w:rPr>
      <w:t>1</w:t>
    </w:r>
    <w:r>
      <w:rPr>
        <w:color w:val="555F5B"/>
        <w:sz w:val="18"/>
      </w:rPr>
      <w:fldChar w:fldCharType="end"/>
    </w:r>
    <w:r>
      <w:rPr>
        <w:color w:val="555F5B"/>
        <w:sz w:val="18"/>
      </w:rPr>
      <w:t xml:space="preserve"> of </w:t>
    </w:r>
    <w:r>
      <w:rPr>
        <w:color w:val="555F5B"/>
        <w:sz w:val="18"/>
      </w:rPr>
      <w:fldChar w:fldCharType="begin"/>
    </w:r>
    <w:r>
      <w:rPr>
        <w:color w:val="555F5B"/>
        <w:sz w:val="18"/>
      </w:rPr>
      <w:instrText xml:space="preserve"> NUMPAGES </w:instrText>
    </w:r>
    <w:r>
      <w:rPr>
        <w:color w:val="555F5B"/>
        <w:sz w:val="18"/>
      </w:rPr>
      <w:fldChar w:fldCharType="separate"/>
    </w:r>
    <w:r>
      <w:rPr>
        <w:color w:val="555F5B"/>
        <w:sz w:val="18"/>
      </w:rPr>
      <w:t>1</w:t>
    </w:r>
    <w:r>
      <w:rPr>
        <w:color w:val="555F5B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pBdr>
        <w:bottom w:val="single" w:sz="6" w:space="4" w:color="AABC3C"/>
      </w:pBdr>
    </w:pPr>
    <w:r/>
    <w:r>
      <w:rPr>
        <w:b/>
        <w:color w:val="0E5640"/>
        <w:sz w:val="18"/>
      </w:rPr>
      <w:t>StormWind · AI Accelerator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 w:cs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Calibri" w:hAnsi="Calibri" w:cs="Calibri" w:eastAsia="Calibri"/>
      <w:b/>
      <w:bCs/>
      <w:i w:val="0"/>
      <w:color w:val="0E564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 w:cs="Calibri" w:eastAsia="Calibri"/>
      <w:b/>
      <w:bCs/>
      <w:i w:val="0"/>
      <w:color w:val="0E564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Calibri" w:hAnsi="Calibri" w:cs="Calibri" w:eastAsia="Calibri"/>
      <w:b/>
      <w:bCs/>
      <w:i w:val="0"/>
      <w:color w:val="0E564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libri" w:hAnsi="Calibri" w:cs="Calibri" w:eastAsia="Calibri"/>
      <w:b/>
      <w:i w:val="0"/>
      <w:color w:val="0E564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Readiness Results Summary Template</dc:title>
  <dc:subject/>
  <dc:creator>StormWind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